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34528">
      <w:pPr>
        <w:pStyle w:val="2"/>
        <w:spacing w:before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  <w:lang w:eastAsia="zh-CN"/>
        </w:rPr>
        <w:t>宜春学院</w:t>
      </w:r>
      <w:r>
        <w:rPr>
          <w:rFonts w:hint="eastAsia"/>
          <w:sz w:val="40"/>
          <w:szCs w:val="40"/>
        </w:rPr>
        <w:t>临床医学</w:t>
      </w:r>
      <w:r>
        <w:rPr>
          <w:rFonts w:hint="eastAsia"/>
          <w:sz w:val="40"/>
          <w:szCs w:val="40"/>
          <w:lang w:eastAsia="zh-CN"/>
        </w:rPr>
        <w:t>类</w:t>
      </w:r>
      <w:r>
        <w:rPr>
          <w:rFonts w:hint="eastAsia"/>
          <w:sz w:val="40"/>
          <w:szCs w:val="40"/>
        </w:rPr>
        <w:t>专业</w:t>
      </w:r>
    </w:p>
    <w:p w14:paraId="0BF919F4">
      <w:pPr>
        <w:pStyle w:val="2"/>
        <w:spacing w:before="0"/>
        <w:jc w:val="center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</w:rPr>
        <w:t>早期接触临床</w:t>
      </w:r>
      <w:r>
        <w:rPr>
          <w:rFonts w:hint="eastAsia"/>
          <w:sz w:val="40"/>
          <w:szCs w:val="40"/>
          <w:lang w:eastAsia="zh-CN"/>
        </w:rPr>
        <w:t>教育工作方案</w:t>
      </w:r>
    </w:p>
    <w:p w14:paraId="5B04C127">
      <w:pPr>
        <w:spacing w:line="56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一、总则</w:t>
      </w:r>
    </w:p>
    <w:p w14:paraId="4635D8F5">
      <w:pPr>
        <w:spacing w:line="560" w:lineRule="exact"/>
        <w:ind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（一）目的与要求</w:t>
      </w:r>
    </w:p>
    <w:p w14:paraId="2B7B5CEC">
      <w:pPr>
        <w:spacing w:line="56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早期接触临床是医学教学改革的重要举措，旨在让基础阶段的低年级医学生尽早树立“临床”意识，促进医学前期基础课程教学与后期专业训练相结合。通过安排学生到医院相关科室见习、观摩，帮助学生熟悉专业和职业特点，培养同情心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同理心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、爱岗敬业精神，激发学习医学的热情与兴趣，增强“健康所系，性命相托”的使命感和责任感。同时，让学生了解我国基层医疗卫生状况，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医疗法律法规政策、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提升团队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合作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精神、沟通能力和社会责任感，全面提高医学生的整体素质。</w:t>
      </w:r>
    </w:p>
    <w:p w14:paraId="6273CBCA">
      <w:pPr>
        <w:spacing w:line="560" w:lineRule="exact"/>
        <w:ind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（二）组织领导</w:t>
      </w:r>
    </w:p>
    <w:p w14:paraId="5779B52B">
      <w:pPr>
        <w:numPr>
          <w:ilvl w:val="0"/>
          <w:numId w:val="1"/>
        </w:numPr>
        <w:spacing w:line="560" w:lineRule="exact"/>
        <w:ind w:left="0"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校级层面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：在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宜春学院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医学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部主任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直接领导下，由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临床医学院临床教学管理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办公室负责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制定和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实施早期接触临床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教学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计划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并按教学大纲要求不定期检查、监督计划落实情况。</w:t>
      </w:r>
    </w:p>
    <w:p w14:paraId="5F6C42CE">
      <w:pPr>
        <w:numPr>
          <w:ilvl w:val="0"/>
          <w:numId w:val="1"/>
        </w:numPr>
        <w:spacing w:line="560" w:lineRule="exact"/>
        <w:ind w:left="0"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医院层面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：各教学医院、基层医院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建立院、科、实习小组三级管理体系。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实践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教学及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学生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管理由医院科教科（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教学办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）负责；相关科室的教学及学生管理由科主任、导师（带教教师）负责；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学生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小组管理由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学生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小组长负责。各级管理小组要经常检查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教学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计划完成情况，定期召开座谈会，了解学生的政治思想、医德医风、学习态度、遵守纪律等情况，及时反馈问题到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学校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2EFA9905">
      <w:pPr>
        <w:numPr>
          <w:ilvl w:val="0"/>
          <w:numId w:val="1"/>
        </w:numPr>
        <w:spacing w:line="560" w:lineRule="exact"/>
        <w:ind w:left="0"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学生层面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每个教学医院接收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早期接触临床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教育学生超过10人时，应成立学习小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组，设组长1人，负责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组全面工作，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学习小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组接受所在教学医院或基层医院党委、院长、科主任的直接领导。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自行联系早期接触临床教育医院的学生，应按照学校工作方案及教学手册的要求，保质保量完成实践工作。</w:t>
      </w:r>
    </w:p>
    <w:p w14:paraId="04561408">
      <w:pPr>
        <w:spacing w:line="560" w:lineRule="exact"/>
        <w:ind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（三）对医院的要求</w:t>
      </w:r>
    </w:p>
    <w:p w14:paraId="73A19601">
      <w:pPr>
        <w:numPr>
          <w:ilvl w:val="0"/>
          <w:numId w:val="2"/>
        </w:numPr>
        <w:spacing w:line="560" w:lineRule="exact"/>
        <w:ind w:left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加强对学生的管理和思想政治教育，注重学生德、智、体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、美、劳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全面发展，培养学生高尚的医德医风、全心全意为病人服务的思想。</w:t>
      </w:r>
    </w:p>
    <w:p w14:paraId="04F8BFA9">
      <w:pPr>
        <w:numPr>
          <w:ilvl w:val="0"/>
          <w:numId w:val="2"/>
        </w:numPr>
        <w:spacing w:line="560" w:lineRule="exact"/>
        <w:ind w:left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按照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学校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早期接触临床教育实践大纲（见第三点）的要求，制定教学计划，安排科室轮转，认真组织实施教学。定期检查各科室的带教工作和教学计划完成情况，及时解决教学中存在的问题。</w:t>
      </w:r>
    </w:p>
    <w:p w14:paraId="1B0001E3">
      <w:pPr>
        <w:numPr>
          <w:ilvl w:val="0"/>
          <w:numId w:val="2"/>
        </w:numPr>
        <w:spacing w:line="560" w:lineRule="exact"/>
        <w:ind w:left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各科室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应安排具有丰富教学经验的医生或科室负责人作为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带教教师。在教学过程中做到对学生严格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考勤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、严格训练、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悉心带教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。带教老师要按照教学计划和实践手册的各项目标要求，具体指导学生学习，训练学生早期接触临床教育实践综合能力，检查学生实践中的表现和实践手册项目的完成情况。</w:t>
      </w:r>
    </w:p>
    <w:p w14:paraId="45808822">
      <w:pPr>
        <w:numPr>
          <w:ilvl w:val="0"/>
          <w:numId w:val="2"/>
        </w:numPr>
        <w:spacing w:line="560" w:lineRule="exact"/>
        <w:ind w:left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根据医院实际情况，安排学生在门诊导医、内科门诊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及病房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外科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门诊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及病房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、妇产科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及儿科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门诊、检验科、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影像科、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康复医学科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、医务部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等部门进行实践活动。督促学生参加各项实践活动，养成主动学习、自主学习的良好习惯。</w:t>
      </w:r>
    </w:p>
    <w:p w14:paraId="19AD6DC6">
      <w:pPr>
        <w:numPr>
          <w:ilvl w:val="0"/>
          <w:numId w:val="2"/>
        </w:numPr>
        <w:spacing w:line="560" w:lineRule="exact"/>
        <w:ind w:left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爱护学生，关心学生学习、生活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和思想动态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，按学校和医院的规定对学生加强管理。</w:t>
      </w:r>
    </w:p>
    <w:p w14:paraId="30F97076">
      <w:pPr>
        <w:numPr>
          <w:ilvl w:val="0"/>
          <w:numId w:val="2"/>
        </w:numPr>
        <w:spacing w:line="560" w:lineRule="exact"/>
        <w:ind w:left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实践活动结束时，带教老师对学生的政治思想、工作作风、劳动纪律、学习态度、业务能力等写出评语，并按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合格、不合格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进行评定成绩，记入早期接触临床教育实践手册，教学医院或基层医院给予总评并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签字盖章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6BC8CA37">
      <w:pPr>
        <w:spacing w:line="56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早期接触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临床教育安全需知</w:t>
      </w:r>
    </w:p>
    <w:p w14:paraId="0A2E8CBE">
      <w:pPr>
        <w:spacing w:line="560" w:lineRule="exact"/>
        <w:ind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（一）医院环境安全</w:t>
      </w:r>
    </w:p>
    <w:p w14:paraId="533BC322">
      <w:pPr>
        <w:numPr>
          <w:ilvl w:val="0"/>
          <w:numId w:val="3"/>
        </w:numPr>
        <w:spacing w:line="560" w:lineRule="exact"/>
        <w:ind w:left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熟悉医院的消防通道、安全出口位置，了解消防设施的使用方法，遵守医院的消防安全规定。</w:t>
      </w:r>
    </w:p>
    <w:p w14:paraId="156069AE">
      <w:pPr>
        <w:numPr>
          <w:ilvl w:val="0"/>
          <w:numId w:val="3"/>
        </w:numPr>
        <w:spacing w:line="560" w:lineRule="exact"/>
        <w:ind w:left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在医院内行走时注意避让患者、家属和医护人员，避免在走廊、楼梯口等通道处停留，防止发生碰撞、摔倒等意外。</w:t>
      </w:r>
    </w:p>
    <w:p w14:paraId="7652EBCB">
      <w:pPr>
        <w:numPr>
          <w:ilvl w:val="0"/>
          <w:numId w:val="3"/>
        </w:numPr>
        <w:spacing w:line="560" w:lineRule="exact"/>
        <w:ind w:left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遵守医院的用电安全规定，不私拉乱接电线，不使用大功率电器，离开科室时关闭不必要的电源。</w:t>
      </w:r>
    </w:p>
    <w:p w14:paraId="22A8EAB2">
      <w:pPr>
        <w:spacing w:line="560" w:lineRule="exact"/>
        <w:ind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（二）医疗操作安全</w:t>
      </w:r>
    </w:p>
    <w:p w14:paraId="043DEB6D">
      <w:pPr>
        <w:numPr>
          <w:ilvl w:val="0"/>
          <w:numId w:val="4"/>
        </w:numPr>
        <w:spacing w:line="560" w:lineRule="exact"/>
        <w:ind w:left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在带教老师的指导下进行医疗操作，严格遵守无菌操作原则和操作规程，避免发生交叉感染和医疗事故。</w:t>
      </w:r>
    </w:p>
    <w:p w14:paraId="363C5903">
      <w:pPr>
        <w:numPr>
          <w:ilvl w:val="0"/>
          <w:numId w:val="4"/>
        </w:numPr>
        <w:spacing w:line="560" w:lineRule="exact"/>
        <w:ind w:left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接触患者血液、体液、分泌物等时，要佩戴手套、口罩、护目镜等防护用品，做好职业防护。</w:t>
      </w:r>
    </w:p>
    <w:p w14:paraId="082FE45C">
      <w:pPr>
        <w:numPr>
          <w:ilvl w:val="0"/>
          <w:numId w:val="4"/>
        </w:numPr>
        <w:spacing w:line="560" w:lineRule="exact"/>
        <w:ind w:left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不擅自进行未经带教老师允许的医疗操作，如穿刺、换药、静脉输液等。</w:t>
      </w:r>
    </w:p>
    <w:p w14:paraId="1C87D5A7">
      <w:pPr>
        <w:spacing w:line="560" w:lineRule="exact"/>
        <w:ind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（三）患者沟通安全</w:t>
      </w:r>
    </w:p>
    <w:p w14:paraId="3D5F934A">
      <w:pPr>
        <w:numPr>
          <w:ilvl w:val="0"/>
          <w:numId w:val="5"/>
        </w:numPr>
        <w:spacing w:line="560" w:lineRule="exact"/>
        <w:ind w:left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与患者及家属沟通时，要使用文明、礼貌、通俗易懂的语言，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禁止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使用刺激性、攻击性的语言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尊重患者的隐私和意愿，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不得擅自向他人透露患者基本信息、检查结果、疾病及治疗情况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074B0BB4">
      <w:pPr>
        <w:numPr>
          <w:ilvl w:val="0"/>
          <w:numId w:val="5"/>
        </w:numPr>
        <w:spacing w:line="560" w:lineRule="exact"/>
        <w:ind w:left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不随意向患者及家属透露病情、治疗方案等敏感信息，如需告知，应在带教老师的指导下进行。</w:t>
      </w:r>
    </w:p>
    <w:p w14:paraId="5029A333">
      <w:pPr>
        <w:numPr>
          <w:ilvl w:val="0"/>
          <w:numId w:val="5"/>
        </w:numPr>
        <w:spacing w:line="560" w:lineRule="exact"/>
        <w:ind w:left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当与患者及家属发生矛盾或纠纷时，要保持冷静，及时向带教老师或医院相关部门报告，避免矛盾激化。</w:t>
      </w:r>
    </w:p>
    <w:p w14:paraId="27F0A10F">
      <w:pPr>
        <w:spacing w:line="56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三、早期接触临床教育实践大纲</w:t>
      </w:r>
    </w:p>
    <w:p w14:paraId="305ED2A8">
      <w:pPr>
        <w:spacing w:line="560" w:lineRule="exact"/>
        <w:ind w:firstLine="562" w:firstLineChars="200"/>
        <w:jc w:val="lef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（一）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专业及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实践时间</w:t>
      </w:r>
    </w:p>
    <w:p w14:paraId="36EB43B4">
      <w:pPr>
        <w:spacing w:line="560" w:lineRule="exact"/>
        <w:ind w:firstLine="560" w:firstLineChars="20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本工作方案涉及的临床医学类专业，包括五年制临床医学、五年制麻醉学。实践时间为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大学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一年级、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二年级学习完成后的暑假，为期2周。</w:t>
      </w:r>
    </w:p>
    <w:p w14:paraId="6192FE1B">
      <w:pPr>
        <w:spacing w:line="560" w:lineRule="exact"/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（二）实践方式</w:t>
      </w:r>
    </w:p>
    <w:p w14:paraId="451B8874">
      <w:pPr>
        <w:spacing w:line="56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实践医院的选择采用学校统一安排和学生自联医院的方式进行。临床医学专业“卓越班”由学校统一安排在附属医院进行实习。其他学生原则上可选择家庭所在地的二甲以上综合医院、专科医院、乡镇卫生院及社区卫生服务中心，但应按照学校早期接触临床教育工作方案及实践手册要求开展学习。</w:t>
      </w:r>
    </w:p>
    <w:p w14:paraId="0D991372">
      <w:pPr>
        <w:spacing w:line="560" w:lineRule="exact"/>
        <w:ind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）实践活动内容</w:t>
      </w:r>
    </w:p>
    <w:p w14:paraId="7D4012B9">
      <w:pPr>
        <w:spacing w:line="560" w:lineRule="exact"/>
        <w:ind w:firstLine="562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1. 医院认知模块</w:t>
      </w:r>
    </w:p>
    <w:p w14:paraId="64853256">
      <w:pPr>
        <w:numPr>
          <w:ilvl w:val="0"/>
          <w:numId w:val="6"/>
        </w:numPr>
        <w:spacing w:line="560" w:lineRule="exact"/>
        <w:ind w:left="0"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院史文化学习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：参观医院院史馆、文化长廊等，了解医院的发展历程、学科特色、核心价值观与优秀医护团队事迹，感受医院的文化底蕴与精神传承。</w:t>
      </w:r>
    </w:p>
    <w:p w14:paraId="68CA54DF">
      <w:pPr>
        <w:numPr>
          <w:ilvl w:val="0"/>
          <w:numId w:val="6"/>
        </w:numPr>
        <w:spacing w:line="560" w:lineRule="exact"/>
        <w:ind w:left="0"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医疗法律法规及政策学习：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由医院部门负责人组织讲座，宣讲国家医疗法律法规、医保政策、医院核心制度等，早期培养学生依法行医意识。</w:t>
      </w:r>
    </w:p>
    <w:p w14:paraId="71866CEB">
      <w:pPr>
        <w:numPr>
          <w:ilvl w:val="0"/>
          <w:numId w:val="6"/>
        </w:numPr>
        <w:spacing w:line="560" w:lineRule="exact"/>
        <w:ind w:left="0"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科室参观走访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：在带教老师带领下，参观门诊、急诊、病房、手术室、检验科、影像科等核心科室，熟悉各科室的功能定位、布局设置与工作流程，直观认识不同科室的医疗设备与工作场景。</w:t>
      </w:r>
    </w:p>
    <w:p w14:paraId="44812B7B">
      <w:pPr>
        <w:spacing w:line="560" w:lineRule="exact"/>
        <w:ind w:firstLine="562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2. 临床观摩模块</w:t>
      </w:r>
    </w:p>
    <w:p w14:paraId="010154C2">
      <w:pPr>
        <w:numPr>
          <w:ilvl w:val="0"/>
          <w:numId w:val="7"/>
        </w:numPr>
        <w:spacing w:line="560" w:lineRule="exact"/>
        <w:ind w:left="0"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诊疗流程观摩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：跟随带教医师参与门诊接诊、病房查房、病例讨论、术前谈话、术后随访等诊疗活动，学习病史采集、体格检查、病情分析、治疗方案制定等临床思维方法，观察医护人员与患者及家属的沟通技巧。</w:t>
      </w:r>
    </w:p>
    <w:p w14:paraId="6C3353FA">
      <w:pPr>
        <w:numPr>
          <w:ilvl w:val="0"/>
          <w:numId w:val="7"/>
        </w:numPr>
        <w:spacing w:line="560" w:lineRule="exact"/>
        <w:ind w:left="0"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手术与操作观摩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：在征得患者同意并遵守手术室规章制度的前提下，观摩常见手术的操作过程，以及穿刺、换药、静脉输液等基础临床操作，了解无菌操作原则与手术基本流程。</w:t>
      </w:r>
    </w:p>
    <w:p w14:paraId="3017435F">
      <w:pPr>
        <w:spacing w:line="560" w:lineRule="exact"/>
        <w:ind w:firstLine="562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3. 技能培训模块</w:t>
      </w:r>
    </w:p>
    <w:p w14:paraId="28FE9D7C">
      <w:pPr>
        <w:numPr>
          <w:ilvl w:val="0"/>
          <w:numId w:val="8"/>
        </w:numPr>
        <w:spacing w:line="560" w:lineRule="exact"/>
        <w:ind w:left="0"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基础技能实训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：开展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外科手消毒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、穿脱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无菌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手术衣、戴无菌手套、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穿脱隔离衣、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生命体征测量（体温、脉搏、呼吸、血压）等基础临床技能培训，通过理论讲解、示范操作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学生练习，确保学生掌握规范操作方法。</w:t>
      </w:r>
    </w:p>
    <w:p w14:paraId="138B4BC8">
      <w:pPr>
        <w:numPr>
          <w:ilvl w:val="0"/>
          <w:numId w:val="8"/>
        </w:numPr>
        <w:spacing w:line="560" w:lineRule="exact"/>
        <w:ind w:left="0"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急救技能入门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：学习心肺复苏、止血包扎、骨折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外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固定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及搬运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等急救基础知识与技能，通过模拟演练，让学生初步掌握急救流程与操作要点，提升应急处置能力。</w:t>
      </w:r>
    </w:p>
    <w:p w14:paraId="1E9642C1">
      <w:pPr>
        <w:spacing w:line="560" w:lineRule="exact"/>
        <w:ind w:firstLine="562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4. 人文实践模块</w:t>
      </w:r>
    </w:p>
    <w:p w14:paraId="097D77F3">
      <w:pPr>
        <w:numPr>
          <w:ilvl w:val="0"/>
          <w:numId w:val="9"/>
        </w:numPr>
        <w:spacing w:line="560" w:lineRule="exact"/>
        <w:ind w:left="0"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医患沟通实践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：在带教老师指导下，尝试与患者进行简单沟通，了解患者的病情感受与需求，学习如何运用通俗易懂的语言解释病情与治疗方案，体会人文关怀在医疗服务中的重要性。</w:t>
      </w:r>
    </w:p>
    <w:p w14:paraId="45DA9FFD">
      <w:pPr>
        <w:numPr>
          <w:ilvl w:val="0"/>
          <w:numId w:val="9"/>
        </w:numPr>
        <w:spacing w:line="560" w:lineRule="exact"/>
        <w:ind w:left="0"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社区医疗体验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：深入社区卫生服务中心，参与健康宣教、慢性病随访、老年人健康体检等基层医疗工作，了解基层医疗卫生服务模式与群众的健康需求，增强社会责任感。</w:t>
      </w:r>
    </w:p>
    <w:p w14:paraId="1F81218D">
      <w:pPr>
        <w:spacing w:line="560" w:lineRule="exact"/>
        <w:ind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）实践考核</w:t>
      </w:r>
    </w:p>
    <w:p w14:paraId="260F8D71">
      <w:pPr>
        <w:numPr>
          <w:ilvl w:val="0"/>
          <w:numId w:val="10"/>
        </w:numPr>
        <w:spacing w:line="560" w:lineRule="exact"/>
        <w:ind w:left="0"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考核内容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：包括出勤情况、纪律表现、学习态度、技能掌握、实践报告等方面。</w:t>
      </w:r>
    </w:p>
    <w:p w14:paraId="23684745">
      <w:pPr>
        <w:numPr>
          <w:ilvl w:val="0"/>
          <w:numId w:val="10"/>
        </w:numPr>
        <w:spacing w:line="560" w:lineRule="exact"/>
        <w:ind w:left="0"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考核方式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：由带教老师根据学生的日常表现、实践日志、实践报告等进行综合评定，实践教学医院给予总评。</w:t>
      </w:r>
    </w:p>
    <w:p w14:paraId="48E656A8">
      <w:pPr>
        <w:numPr>
          <w:ilvl w:val="0"/>
          <w:numId w:val="10"/>
        </w:numPr>
        <w:spacing w:line="560" w:lineRule="exact"/>
        <w:ind w:left="0"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成绩评定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最后成绩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按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合格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合格两个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等级进行评定。考核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合格者，按照培养大纲要求，获得相应学分；考核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合格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者，需重新参加早期接触临床教育实践。</w:t>
      </w:r>
    </w:p>
    <w:p w14:paraId="291AAE69">
      <w:pPr>
        <w:spacing w:line="560" w:lineRule="exact"/>
        <w:ind w:firstLine="562" w:firstLineChars="200"/>
        <w:jc w:val="lef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附：早期接触临床教育实践手册</w:t>
      </w:r>
    </w:p>
    <w:p w14:paraId="0E4E6667">
      <w:pPr>
        <w:spacing w:line="56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</w:p>
    <w:p w14:paraId="54184082">
      <w:pPr>
        <w:spacing w:line="56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</w:p>
    <w:p w14:paraId="271012D7">
      <w:pPr>
        <w:wordWrap w:val="0"/>
        <w:spacing w:line="560" w:lineRule="exact"/>
        <w:ind w:firstLine="560" w:firstLineChars="200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宜春学院临床医学院   </w:t>
      </w:r>
    </w:p>
    <w:p w14:paraId="2A31FD2D">
      <w:pPr>
        <w:wordWrap w:val="0"/>
        <w:spacing w:line="560" w:lineRule="exact"/>
        <w:ind w:firstLine="560" w:firstLineChars="200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2026年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月2日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173BE"/>
    <w:multiLevelType w:val="multilevel"/>
    <w:tmpl w:val="836173BE"/>
    <w:lvl w:ilvl="0" w:tentative="0">
      <w:start w:val="1"/>
      <w:numFmt w:val="decimal"/>
      <w:suff w:val="space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">
    <w:nsid w:val="D4C51A38"/>
    <w:multiLevelType w:val="multilevel"/>
    <w:tmpl w:val="D4C51A38"/>
    <w:lvl w:ilvl="0" w:tentative="0">
      <w:start w:val="1"/>
      <w:numFmt w:val="decimal"/>
      <w:suff w:val="space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3">
    <w:nsid w:val="0248C179"/>
    <w:multiLevelType w:val="multilevel"/>
    <w:tmpl w:val="0248C17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5">
    <w:nsid w:val="1F6CAC0C"/>
    <w:multiLevelType w:val="multilevel"/>
    <w:tmpl w:val="1F6CAC0C"/>
    <w:lvl w:ilvl="0" w:tentative="0">
      <w:start w:val="1"/>
      <w:numFmt w:val="decimal"/>
      <w:suff w:val="space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6">
    <w:nsid w:val="25B654F3"/>
    <w:multiLevelType w:val="multilevel"/>
    <w:tmpl w:val="25B654F3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6F906457"/>
    <w:multiLevelType w:val="multilevel"/>
    <w:tmpl w:val="6F906457"/>
    <w:lvl w:ilvl="0" w:tentative="0">
      <w:start w:val="1"/>
      <w:numFmt w:val="decimal"/>
      <w:suff w:val="space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8">
    <w:nsid w:val="72183CF9"/>
    <w:multiLevelType w:val="multilevel"/>
    <w:tmpl w:val="72183CF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9">
    <w:nsid w:val="7BFABB63"/>
    <w:multiLevelType w:val="multilevel"/>
    <w:tmpl w:val="7BFABB63"/>
    <w:lvl w:ilvl="0" w:tentative="0">
      <w:start w:val="1"/>
      <w:numFmt w:val="decimal"/>
      <w:suff w:val="space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2"/>
  </w:compat>
  <w:rsids>
    <w:rsidRoot w:val="00C77211"/>
    <w:rsid w:val="00197AF3"/>
    <w:rsid w:val="003F09E4"/>
    <w:rsid w:val="004B650C"/>
    <w:rsid w:val="00C63E4B"/>
    <w:rsid w:val="00C6407C"/>
    <w:rsid w:val="00C77211"/>
    <w:rsid w:val="00F954A4"/>
    <w:rsid w:val="09DC40C1"/>
    <w:rsid w:val="14566AC4"/>
    <w:rsid w:val="19950AE3"/>
    <w:rsid w:val="1C430153"/>
    <w:rsid w:val="258264C8"/>
    <w:rsid w:val="2DDD3579"/>
    <w:rsid w:val="3A1172F0"/>
    <w:rsid w:val="45652268"/>
    <w:rsid w:val="5E5D3F4E"/>
    <w:rsid w:val="62BE4423"/>
    <w:rsid w:val="632E1BAC"/>
    <w:rsid w:val="65D06398"/>
    <w:rsid w:val="692D388F"/>
    <w:rsid w:val="725B34F8"/>
    <w:rsid w:val="7BC02341"/>
    <w:rsid w:val="7CC5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9" w:semiHidden="0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paragraph" w:styleId="6">
    <w:name w:val="heading 5"/>
    <w:basedOn w:val="1"/>
    <w:next w:val="1"/>
    <w:unhideWhenUsed/>
    <w:qFormat/>
    <w:uiPriority w:val="99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unhideWhenUsed/>
    <w:qFormat/>
    <w:uiPriority w:val="99"/>
    <w:pPr>
      <w:ind w:left="720"/>
    </w:pPr>
  </w:style>
  <w:style w:type="paragraph" w:styleId="8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页眉 Char"/>
    <w:basedOn w:val="14"/>
    <w:link w:val="9"/>
    <w:qFormat/>
    <w:uiPriority w:val="99"/>
  </w:style>
  <w:style w:type="character" w:customStyle="1" w:styleId="18">
    <w:name w:val="标题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标题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标题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2759</Words>
  <Characters>2767</Characters>
  <Lines>21</Lines>
  <Paragraphs>5</Paragraphs>
  <TotalTime>61</TotalTime>
  <ScaleCrop>false</ScaleCrop>
  <LinksUpToDate>false</LinksUpToDate>
  <CharactersWithSpaces>2777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2026-05-19T07:49:00Z</dcterms:created>
  <dc:creator>刘在强</dc:creator>
  <cp:lastModifiedBy>刘在强</cp:lastModifiedBy>
  <dcterms:modified xsi:type="dcterms:W3CDTF">2026-06-16T00:45:19Z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eyJoZGlkIjoiYzc5YzUxNmIyZGVlOTNlY2U3OTllOTFiMGExMGY5NmIiLCJ1c2VySWQiOiIzOTIyOTM0MDcifQ==</vt:lpwstr>
  </property>
  <property fmtid="{D5CDD505-2E9C-101B-9397-08002B2CF9AE}" pid="3" name="KSOProductBuildVer">
    <vt:lpwstr>2052-12.1.0.26884</vt:lpwstr>
  </property>
  <property fmtid="{D5CDD505-2E9C-101B-9397-08002B2CF9AE}" pid="4" name="ICV">
    <vt:lpwstr>D6AF902B223443C384235A3B1B7B3A3C_12</vt:lpwstr>
  </property>
</Properties>
</file>